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0"/>
        <w:gridCol w:w="9400"/>
      </w:tblGrid>
      <w:tr w:rsidR="00CA37C1" w:rsidTr="00CA37C1">
        <w:tblPrEx>
          <w:tblCellMar>
            <w:top w:w="0" w:type="dxa"/>
            <w:left w:w="0" w:type="dxa"/>
            <w:bottom w:w="0" w:type="dxa"/>
            <w:right w:w="0" w:type="dxa"/>
          </w:tblCellMar>
        </w:tblPrEx>
        <w:tc>
          <w:tcPr>
            <w:tcW w:w="9380" w:type="dxa"/>
            <w:gridSpan w:val="2"/>
            <w:tcBorders>
              <w:top w:val="nil"/>
              <w:left w:val="nil"/>
              <w:bottom w:val="nil"/>
              <w:right w:val="nil"/>
            </w:tcBorders>
            <w:tcMar>
              <w:top w:w="60" w:type="nil"/>
              <w:left w:w="60" w:type="nil"/>
              <w:bottom w:w="60" w:type="nil"/>
              <w:right w:w="60" w:type="nil"/>
            </w:tcMar>
          </w:tcPr>
          <w:p w:rsidR="00CA37C1" w:rsidRDefault="00CA37C1">
            <w:pPr>
              <w:widowControl w:val="0"/>
              <w:autoSpaceDE w:val="0"/>
              <w:autoSpaceDN w:val="0"/>
              <w:adjustRightInd w:val="0"/>
              <w:rPr>
                <w:rFonts w:ascii="Times" w:hAnsi="Times" w:cs="Times"/>
                <w:sz w:val="32"/>
                <w:szCs w:val="32"/>
                <w:lang w:val="en-US"/>
              </w:rPr>
            </w:pPr>
            <w:r>
              <w:rPr>
                <w:rFonts w:ascii="Trebuchet MS" w:hAnsi="Trebuchet MS" w:cs="Times New Roman"/>
                <w:lang w:val="en-US"/>
              </w:rPr>
              <w:fldChar w:fldCharType="begin"/>
            </w:r>
            <w:r>
              <w:rPr>
                <w:rFonts w:ascii="Trebuchet MS" w:hAnsi="Trebuchet MS" w:cs="Times New Roman"/>
                <w:lang w:val="en-US"/>
              </w:rPr>
              <w:instrText>HYPERLINK "http://www.anred.org/spip.php?article7662"</w:instrText>
            </w:r>
            <w:r>
              <w:rPr>
                <w:rFonts w:ascii="Trebuchet MS" w:hAnsi="Trebuchet MS" w:cs="Times New Roman"/>
                <w:lang w:val="en-US"/>
              </w:rPr>
            </w:r>
            <w:r>
              <w:rPr>
                <w:rFonts w:ascii="Trebuchet MS" w:hAnsi="Trebuchet MS" w:cs="Times New Roman"/>
                <w:lang w:val="en-US"/>
              </w:rPr>
              <w:fldChar w:fldCharType="separate"/>
            </w:r>
            <w:r>
              <w:rPr>
                <w:rFonts w:ascii="Trebuchet MS" w:hAnsi="Trebuchet MS" w:cs="Trebuchet MS"/>
                <w:color w:val="F06D1A"/>
                <w:sz w:val="48"/>
                <w:szCs w:val="48"/>
                <w:lang w:val="en-US"/>
              </w:rPr>
              <w:t>En recuerdo de Juan Carlos Marín</w:t>
            </w:r>
            <w:r>
              <w:rPr>
                <w:rFonts w:ascii="Trebuchet MS" w:hAnsi="Trebuchet MS" w:cs="Times New Roman"/>
                <w:lang w:val="en-US"/>
              </w:rPr>
              <w:fldChar w:fldCharType="end"/>
            </w:r>
          </w:p>
        </w:tc>
      </w:tr>
      <w:tr w:rsidR="00CA37C1" w:rsidTr="00CA37C1">
        <w:tblPrEx>
          <w:tblBorders>
            <w:top w:val="none" w:sz="0" w:space="0" w:color="auto"/>
          </w:tblBorders>
          <w:tblCellMar>
            <w:top w:w="0" w:type="dxa"/>
            <w:left w:w="0" w:type="dxa"/>
            <w:bottom w:w="0" w:type="dxa"/>
            <w:right w:w="0" w:type="dxa"/>
          </w:tblCellMar>
        </w:tblPrEx>
        <w:tc>
          <w:tcPr>
            <w:tcW w:w="9380" w:type="dxa"/>
            <w:gridSpan w:val="2"/>
            <w:tcBorders>
              <w:top w:val="nil"/>
              <w:left w:val="nil"/>
              <w:bottom w:val="nil"/>
              <w:right w:val="nil"/>
            </w:tcBorders>
            <w:shd w:val="clear" w:color="auto" w:fill="FFFFFF"/>
            <w:tcMar>
              <w:top w:w="60" w:type="nil"/>
              <w:left w:w="60" w:type="nil"/>
              <w:bottom w:w="60" w:type="nil"/>
              <w:right w:w="60" w:type="nil"/>
            </w:tcMar>
          </w:tcPr>
          <w:p w:rsidR="00CA37C1" w:rsidRDefault="00CA37C1">
            <w:pPr>
              <w:widowControl w:val="0"/>
              <w:autoSpaceDE w:val="0"/>
              <w:autoSpaceDN w:val="0"/>
              <w:adjustRightInd w:val="0"/>
              <w:rPr>
                <w:rFonts w:ascii="Trebuchet MS" w:hAnsi="Trebuchet MS" w:cs="Trebuchet MS"/>
                <w:b/>
                <w:bCs/>
                <w:sz w:val="26"/>
                <w:szCs w:val="26"/>
                <w:lang w:val="en-US"/>
              </w:rPr>
            </w:pPr>
            <w:r>
              <w:rPr>
                <w:rFonts w:ascii="Trebuchet MS" w:hAnsi="Trebuchet MS" w:cs="Trebuchet MS"/>
                <w:b/>
                <w:bCs/>
                <w:noProof/>
                <w:sz w:val="26"/>
                <w:szCs w:val="26"/>
                <w:lang w:val="en-US"/>
              </w:rPr>
              <w:drawing>
                <wp:inline distT="0" distB="0" distL="0" distR="0">
                  <wp:extent cx="2092325" cy="249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2325" cy="2494280"/>
                          </a:xfrm>
                          <a:prstGeom prst="rect">
                            <a:avLst/>
                          </a:prstGeom>
                          <a:noFill/>
                          <a:ln>
                            <a:noFill/>
                          </a:ln>
                        </pic:spPr>
                      </pic:pic>
                    </a:graphicData>
                  </a:graphic>
                </wp:inline>
              </w:drawing>
            </w:r>
          </w:p>
          <w:p w:rsidR="00CA37C1" w:rsidRDefault="00CA37C1">
            <w:pPr>
              <w:widowControl w:val="0"/>
              <w:autoSpaceDE w:val="0"/>
              <w:autoSpaceDN w:val="0"/>
              <w:adjustRightInd w:val="0"/>
              <w:spacing w:after="260"/>
              <w:rPr>
                <w:rFonts w:ascii="Trebuchet MS" w:hAnsi="Trebuchet MS" w:cs="Trebuchet MS"/>
                <w:b/>
                <w:bCs/>
                <w:sz w:val="26"/>
                <w:szCs w:val="26"/>
                <w:lang w:val="en-US"/>
              </w:rPr>
            </w:pPr>
            <w:r>
              <w:rPr>
                <w:rFonts w:ascii="Trebuchet MS" w:hAnsi="Trebuchet MS" w:cs="Trebuchet MS"/>
                <w:b/>
                <w:bCs/>
                <w:sz w:val="26"/>
                <w:szCs w:val="26"/>
                <w:lang w:val="en-US"/>
              </w:rPr>
              <w:t xml:space="preserve">Juan Carlos “Lito” Marín perteneció a la generación de intelectuales de los años 1960, manteniendo y renovando ese legado. Fue una persona destacada de una nueva elite político intelectual cuyo horizonte se ha propuesto eliminar la “división entre dirigentes y dirigidos” en la distribución del poder social. Formó parte del equipo que fundó la carrera de Sociología en la Universidad de Buenos Aires y fundó el Centro de Investigaciones en Ciencias Sociales. Falleció el viernes 2 de mayo. </w:t>
            </w:r>
            <w:r>
              <w:rPr>
                <w:rFonts w:ascii="Trebuchet MS" w:hAnsi="Trebuchet MS" w:cs="Trebuchet MS"/>
                <w:b/>
                <w:bCs/>
                <w:i/>
                <w:iCs/>
                <w:sz w:val="26"/>
                <w:szCs w:val="26"/>
                <w:lang w:val="en-US"/>
              </w:rPr>
              <w:t>Por Agustín Santella, para ANRed.</w:t>
            </w:r>
          </w:p>
        </w:tc>
      </w:tr>
      <w:tr w:rsidR="00CA37C1" w:rsidTr="00CA37C1">
        <w:tblPrEx>
          <w:tblCellMar>
            <w:top w:w="0" w:type="dxa"/>
            <w:left w:w="0" w:type="dxa"/>
            <w:bottom w:w="0" w:type="dxa"/>
            <w:right w:w="0" w:type="dxa"/>
          </w:tblCellMar>
        </w:tblPrEx>
        <w:tc>
          <w:tcPr>
            <w:tcW w:w="9380" w:type="dxa"/>
            <w:gridSpan w:val="2"/>
            <w:tcBorders>
              <w:top w:val="nil"/>
              <w:left w:val="nil"/>
              <w:bottom w:val="nil"/>
              <w:right w:val="nil"/>
            </w:tcBorders>
            <w:shd w:val="clear" w:color="auto" w:fill="FFFFFF"/>
            <w:tcMar>
              <w:top w:w="60" w:type="nil"/>
              <w:left w:w="60" w:type="nil"/>
              <w:bottom w:w="60" w:type="nil"/>
              <w:right w:w="60" w:type="nil"/>
            </w:tcMar>
          </w:tcPr>
          <w:p w:rsidR="00CA37C1" w:rsidRDefault="00CA37C1">
            <w:pPr>
              <w:widowControl w:val="0"/>
              <w:autoSpaceDE w:val="0"/>
              <w:autoSpaceDN w:val="0"/>
              <w:adjustRightInd w:val="0"/>
              <w:rPr>
                <w:rFonts w:ascii="Times" w:hAnsi="Times" w:cs="Times"/>
                <w:sz w:val="32"/>
                <w:szCs w:val="32"/>
                <w:lang w:val="en-US"/>
              </w:rPr>
            </w:pPr>
            <w:r>
              <w:rPr>
                <w:rFonts w:ascii="Times" w:hAnsi="Times" w:cs="Times"/>
                <w:noProof/>
                <w:sz w:val="32"/>
                <w:szCs w:val="32"/>
                <w:lang w:val="en-US"/>
              </w:rPr>
              <w:drawing>
                <wp:inline distT="0" distB="0" distL="0" distR="0">
                  <wp:extent cx="102235"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tc>
      </w:tr>
      <w:tr w:rsidR="00CA37C1">
        <w:tblPrEx>
          <w:tblCellMar>
            <w:top w:w="0" w:type="dxa"/>
            <w:left w:w="0" w:type="dxa"/>
            <w:bottom w:w="0" w:type="dxa"/>
            <w:right w:w="0" w:type="dxa"/>
          </w:tblCellMar>
        </w:tblPrEx>
        <w:tc>
          <w:tcPr>
            <w:tcW w:w="100" w:type="dxa"/>
            <w:tcBorders>
              <w:top w:val="nil"/>
              <w:left w:val="nil"/>
              <w:bottom w:val="nil"/>
              <w:right w:val="nil"/>
            </w:tcBorders>
            <w:vAlign w:val="center"/>
          </w:tcPr>
          <w:p w:rsidR="00CA37C1" w:rsidRDefault="00CA37C1">
            <w:pPr>
              <w:widowControl w:val="0"/>
              <w:autoSpaceDE w:val="0"/>
              <w:autoSpaceDN w:val="0"/>
              <w:adjustRightInd w:val="0"/>
              <w:rPr>
                <w:rFonts w:ascii="Times" w:hAnsi="Times" w:cs="Times"/>
                <w:sz w:val="32"/>
                <w:szCs w:val="32"/>
                <w:lang w:val="en-US"/>
              </w:rPr>
            </w:pPr>
            <w:r>
              <w:rPr>
                <w:rFonts w:ascii="Times" w:hAnsi="Times" w:cs="Times"/>
                <w:noProof/>
                <w:sz w:val="32"/>
                <w:szCs w:val="32"/>
                <w:lang w:val="en-US"/>
              </w:rPr>
              <w:drawing>
                <wp:inline distT="0" distB="0" distL="0" distR="0">
                  <wp:extent cx="102235" cy="102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tc>
        <w:tc>
          <w:tcPr>
            <w:tcW w:w="9400" w:type="dxa"/>
            <w:tcBorders>
              <w:top w:val="nil"/>
              <w:left w:val="nil"/>
              <w:bottom w:val="nil"/>
              <w:right w:val="nil"/>
            </w:tcBorders>
            <w:vAlign w:val="center"/>
          </w:tcPr>
          <w:p w:rsidR="00CA37C1" w:rsidRDefault="00CA37C1">
            <w:pPr>
              <w:widowControl w:val="0"/>
              <w:autoSpaceDE w:val="0"/>
              <w:autoSpaceDN w:val="0"/>
              <w:adjustRightInd w:val="0"/>
              <w:rPr>
                <w:rFonts w:ascii="Times" w:hAnsi="Times" w:cs="Times"/>
                <w:sz w:val="32"/>
                <w:szCs w:val="32"/>
                <w:lang w:val="en-US"/>
              </w:rPr>
            </w:pPr>
            <w:r>
              <w:rPr>
                <w:rFonts w:ascii="Verdana" w:hAnsi="Verdana" w:cs="Verdana"/>
                <w:b/>
                <w:bCs/>
                <w:color w:val="FFFFFF"/>
                <w:sz w:val="20"/>
                <w:szCs w:val="20"/>
                <w:lang w:val="en-US"/>
              </w:rPr>
              <w:t>Por ANRed - L (redaccion@anred.org)</w:t>
            </w:r>
          </w:p>
        </w:tc>
      </w:tr>
    </w:tbl>
    <w:p w:rsidR="00CA37C1" w:rsidRDefault="00CA37C1" w:rsidP="00CA37C1">
      <w:pPr>
        <w:widowControl w:val="0"/>
        <w:autoSpaceDE w:val="0"/>
        <w:autoSpaceDN w:val="0"/>
        <w:adjustRightInd w:val="0"/>
        <w:rPr>
          <w:rFonts w:ascii="Times" w:hAnsi="Times" w:cs="Times"/>
          <w:sz w:val="32"/>
          <w:szCs w:val="32"/>
          <w:lang w:val="en-US"/>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480"/>
        <w:gridCol w:w="1280"/>
        <w:gridCol w:w="6620"/>
      </w:tblGrid>
      <w:tr w:rsidR="00CA37C1">
        <w:tblPrEx>
          <w:tblCellMar>
            <w:top w:w="0" w:type="dxa"/>
            <w:left w:w="0" w:type="dxa"/>
            <w:bottom w:w="0" w:type="dxa"/>
            <w:right w:w="0" w:type="dxa"/>
          </w:tblCellMar>
        </w:tblPrEx>
        <w:trPr>
          <w:gridAfter w:val="1"/>
          <w:wAfter w:w="2880" w:type="dxa"/>
        </w:trPr>
        <w:tc>
          <w:tcPr>
            <w:tcW w:w="1480" w:type="dxa"/>
            <w:tcBorders>
              <w:top w:val="nil"/>
              <w:left w:val="nil"/>
              <w:bottom w:val="nil"/>
              <w:right w:val="nil"/>
            </w:tcBorders>
          </w:tcPr>
          <w:p w:rsidR="00CA37C1" w:rsidRDefault="00CA37C1">
            <w:pPr>
              <w:widowControl w:val="0"/>
              <w:autoSpaceDE w:val="0"/>
              <w:autoSpaceDN w:val="0"/>
              <w:adjustRightInd w:val="0"/>
              <w:spacing w:after="220"/>
              <w:rPr>
                <w:rFonts w:ascii="Helvetica Neue" w:hAnsi="Helvetica Neue" w:cs="Helvetica Neue"/>
                <w:color w:val="262626"/>
                <w:sz w:val="22"/>
                <w:szCs w:val="22"/>
                <w:u w:color="262626"/>
                <w:lang w:val="en-US"/>
              </w:rPr>
            </w:pPr>
          </w:p>
        </w:tc>
        <w:tc>
          <w:tcPr>
            <w:tcW w:w="1280" w:type="dxa"/>
            <w:tcBorders>
              <w:top w:val="nil"/>
              <w:left w:val="nil"/>
              <w:bottom w:val="nil"/>
              <w:right w:val="nil"/>
            </w:tcBorders>
            <w:tcMar>
              <w:top w:w="80" w:type="nil"/>
            </w:tcMar>
          </w:tcPr>
          <w:p w:rsidR="00CA37C1" w:rsidRDefault="00CA37C1">
            <w:pPr>
              <w:widowControl w:val="0"/>
              <w:autoSpaceDE w:val="0"/>
              <w:autoSpaceDN w:val="0"/>
              <w:adjustRightInd w:val="0"/>
              <w:rPr>
                <w:rFonts w:ascii="Helvetica Neue" w:hAnsi="Helvetica Neue" w:cs="Helvetica Neue"/>
                <w:color w:val="262626"/>
                <w:sz w:val="22"/>
                <w:szCs w:val="22"/>
                <w:u w:color="262626"/>
                <w:lang w:val="en-US"/>
              </w:rPr>
            </w:pPr>
          </w:p>
        </w:tc>
      </w:tr>
      <w:tr w:rsidR="00CA37C1" w:rsidTr="00CA37C1">
        <w:tblPrEx>
          <w:tblCellMar>
            <w:top w:w="0" w:type="dxa"/>
            <w:left w:w="0" w:type="dxa"/>
            <w:bottom w:w="0" w:type="dxa"/>
            <w:right w:w="0" w:type="dxa"/>
          </w:tblCellMar>
        </w:tblPrEx>
        <w:tc>
          <w:tcPr>
            <w:tcW w:w="9380" w:type="dxa"/>
            <w:gridSpan w:val="3"/>
            <w:tcBorders>
              <w:top w:val="nil"/>
              <w:left w:val="nil"/>
              <w:bottom w:val="nil"/>
              <w:right w:val="nil"/>
            </w:tcBorders>
            <w:tcMar>
              <w:top w:w="60" w:type="nil"/>
              <w:left w:w="60" w:type="nil"/>
              <w:bottom w:w="60" w:type="nil"/>
              <w:right w:w="60" w:type="nil"/>
            </w:tcMar>
          </w:tcPr>
          <w:p w:rsidR="00CA37C1" w:rsidRDefault="00CA37C1">
            <w:pPr>
              <w:widowControl w:val="0"/>
              <w:autoSpaceDE w:val="0"/>
              <w:autoSpaceDN w:val="0"/>
              <w:adjustRightInd w:val="0"/>
              <w:rPr>
                <w:rFonts w:ascii="Times" w:hAnsi="Times" w:cs="Times"/>
                <w:sz w:val="32"/>
                <w:szCs w:val="32"/>
                <w:u w:color="262626"/>
                <w:lang w:val="en-US"/>
              </w:rPr>
            </w:pPr>
            <w:r>
              <w:rPr>
                <w:rFonts w:ascii="Times" w:hAnsi="Times" w:cs="Times"/>
                <w:noProof/>
                <w:sz w:val="32"/>
                <w:szCs w:val="32"/>
                <w:u w:color="262626"/>
                <w:lang w:val="en-US"/>
              </w:rPr>
              <w:drawing>
                <wp:inline distT="0" distB="0" distL="0" distR="0" wp14:anchorId="23798BFE" wp14:editId="08FC4B12">
                  <wp:extent cx="102235" cy="102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El </w:t>
            </w:r>
            <w:r>
              <w:rPr>
                <w:rFonts w:ascii="Trebuchet MS" w:hAnsi="Trebuchet MS" w:cs="Trebuchet MS"/>
                <w:b/>
                <w:bCs/>
                <w:sz w:val="26"/>
                <w:szCs w:val="26"/>
                <w:u w:color="262626"/>
                <w:lang w:val="en-US"/>
              </w:rPr>
              <w:t>campo específico</w:t>
            </w:r>
            <w:r>
              <w:rPr>
                <w:rFonts w:ascii="Trebuchet MS" w:hAnsi="Trebuchet MS" w:cs="Trebuchet MS"/>
                <w:sz w:val="26"/>
                <w:szCs w:val="26"/>
                <w:u w:color="262626"/>
                <w:lang w:val="en-US"/>
              </w:rPr>
              <w:t xml:space="preserve"> de la práctica de Lito se inscribe en la </w:t>
            </w:r>
            <w:r>
              <w:rPr>
                <w:rFonts w:ascii="Trebuchet MS" w:hAnsi="Trebuchet MS" w:cs="Trebuchet MS"/>
                <w:b/>
                <w:bCs/>
                <w:sz w:val="26"/>
                <w:szCs w:val="26"/>
                <w:u w:color="262626"/>
                <w:lang w:val="en-US"/>
              </w:rPr>
              <w:t>investigación científica social</w:t>
            </w:r>
            <w:r>
              <w:rPr>
                <w:rFonts w:ascii="Trebuchet MS" w:hAnsi="Trebuchet MS" w:cs="Trebuchet MS"/>
                <w:sz w:val="26"/>
                <w:szCs w:val="26"/>
                <w:u w:color="262626"/>
                <w:lang w:val="en-US"/>
              </w:rPr>
              <w:t xml:space="preserve">. Pero esta práctica iba de la mano con la </w:t>
            </w:r>
            <w:r>
              <w:rPr>
                <w:rFonts w:ascii="Trebuchet MS" w:hAnsi="Trebuchet MS" w:cs="Trebuchet MS"/>
                <w:b/>
                <w:bCs/>
                <w:sz w:val="26"/>
                <w:szCs w:val="26"/>
                <w:u w:color="262626"/>
                <w:lang w:val="en-US"/>
              </w:rPr>
              <w:t>participación política</w:t>
            </w:r>
            <w:r>
              <w:rPr>
                <w:rFonts w:ascii="Trebuchet MS" w:hAnsi="Trebuchet MS" w:cs="Trebuchet MS"/>
                <w:sz w:val="26"/>
                <w:szCs w:val="26"/>
                <w:u w:color="262626"/>
                <w:lang w:val="en-US"/>
              </w:rPr>
              <w:t xml:space="preserve"> a partir de la </w:t>
            </w:r>
            <w:r>
              <w:rPr>
                <w:rFonts w:ascii="Trebuchet MS" w:hAnsi="Trebuchet MS" w:cs="Trebuchet MS"/>
                <w:b/>
                <w:bCs/>
                <w:sz w:val="26"/>
                <w:szCs w:val="26"/>
                <w:u w:color="262626"/>
                <w:lang w:val="en-US"/>
              </w:rPr>
              <w:t>movilización popular</w:t>
            </w:r>
            <w:r>
              <w:rPr>
                <w:rFonts w:ascii="Trebuchet MS" w:hAnsi="Trebuchet MS" w:cs="Trebuchet MS"/>
                <w:sz w:val="26"/>
                <w:szCs w:val="26"/>
                <w:u w:color="262626"/>
                <w:lang w:val="en-US"/>
              </w:rPr>
              <w:t xml:space="preserve">, directa o indirectamente en colaboración con organizaciones de </w:t>
            </w:r>
            <w:r>
              <w:rPr>
                <w:rFonts w:ascii="Trebuchet MS" w:hAnsi="Trebuchet MS" w:cs="Trebuchet MS"/>
                <w:b/>
                <w:bCs/>
                <w:sz w:val="26"/>
                <w:szCs w:val="26"/>
                <w:u w:color="262626"/>
                <w:lang w:val="en-US"/>
              </w:rPr>
              <w:t>nuevos sectores de izquierdas</w:t>
            </w:r>
            <w:r>
              <w:rPr>
                <w:rFonts w:ascii="Trebuchet MS" w:hAnsi="Trebuchet MS" w:cs="Trebuchet MS"/>
                <w:sz w:val="26"/>
                <w:szCs w:val="26"/>
                <w:u w:color="262626"/>
                <w:lang w:val="en-US"/>
              </w:rPr>
              <w:t xml:space="preserve"> en distintos países latinoamericanos.</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Juan Carlos Marín </w:t>
            </w:r>
            <w:r>
              <w:rPr>
                <w:rFonts w:ascii="Trebuchet MS" w:hAnsi="Trebuchet MS" w:cs="Trebuchet MS"/>
                <w:b/>
                <w:bCs/>
                <w:sz w:val="26"/>
                <w:szCs w:val="26"/>
                <w:u w:color="262626"/>
                <w:lang w:val="en-US"/>
              </w:rPr>
              <w:t xml:space="preserve">formó parte del equipo que fundó la carrera de Sociología </w:t>
            </w:r>
            <w:r>
              <w:rPr>
                <w:rFonts w:ascii="Trebuchet MS" w:hAnsi="Trebuchet MS" w:cs="Trebuchet MS"/>
                <w:sz w:val="26"/>
                <w:szCs w:val="26"/>
                <w:u w:color="262626"/>
                <w:lang w:val="en-US"/>
              </w:rPr>
              <w:t xml:space="preserve">en la </w:t>
            </w:r>
            <w:r>
              <w:rPr>
                <w:rFonts w:ascii="Trebuchet MS" w:hAnsi="Trebuchet MS" w:cs="Trebuchet MS"/>
                <w:b/>
                <w:bCs/>
                <w:sz w:val="26"/>
                <w:szCs w:val="26"/>
                <w:u w:color="262626"/>
                <w:lang w:val="en-US"/>
              </w:rPr>
              <w:t>Universidad de Buenos Aires</w:t>
            </w:r>
            <w:r>
              <w:rPr>
                <w:rFonts w:ascii="Trebuchet MS" w:hAnsi="Trebuchet MS" w:cs="Trebuchet MS"/>
                <w:sz w:val="26"/>
                <w:szCs w:val="26"/>
                <w:u w:color="262626"/>
                <w:lang w:val="en-US"/>
              </w:rPr>
              <w:t xml:space="preserve"> hacia 1956 acompañando a </w:t>
            </w:r>
            <w:r>
              <w:rPr>
                <w:rFonts w:ascii="Trebuchet MS" w:hAnsi="Trebuchet MS" w:cs="Trebuchet MS"/>
                <w:b/>
                <w:bCs/>
                <w:sz w:val="26"/>
                <w:szCs w:val="26"/>
                <w:u w:color="262626"/>
                <w:lang w:val="en-US"/>
              </w:rPr>
              <w:t>Gino Germani</w:t>
            </w:r>
            <w:r>
              <w:rPr>
                <w:rFonts w:ascii="Trebuchet MS" w:hAnsi="Trebuchet MS" w:cs="Trebuchet MS"/>
                <w:sz w:val="26"/>
                <w:szCs w:val="26"/>
                <w:u w:color="262626"/>
                <w:lang w:val="en-US"/>
              </w:rPr>
              <w:t xml:space="preserve">. Este inmigrante italiano exiliado del fascismo, luego de realizar estudios formales en Filosofía, se propuso transformar lo que consideraba </w:t>
            </w:r>
            <w:r>
              <w:rPr>
                <w:rFonts w:ascii="Trebuchet MS" w:hAnsi="Trebuchet MS" w:cs="Trebuchet MS"/>
                <w:b/>
                <w:bCs/>
                <w:sz w:val="26"/>
                <w:szCs w:val="26"/>
                <w:u w:color="262626"/>
                <w:lang w:val="en-US"/>
              </w:rPr>
              <w:t>una sociología ensayística en una de tipo científico</w:t>
            </w:r>
            <w:r>
              <w:rPr>
                <w:rFonts w:ascii="Trebuchet MS" w:hAnsi="Trebuchet MS" w:cs="Trebuchet MS"/>
                <w:sz w:val="26"/>
                <w:szCs w:val="26"/>
                <w:u w:color="262626"/>
                <w:lang w:val="en-US"/>
              </w:rPr>
              <w:t>, trayendo los avances que en este sentido se realizaban en las universidades de los países capitalistas desarrollados (mayormente Estados Unidos).</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Formado en este ámbito, Lito Marín practicó con pasión y originalidad la investigación social. Como parte de la generación rebelde, fundó el </w:t>
            </w:r>
            <w:r>
              <w:rPr>
                <w:rFonts w:ascii="Trebuchet MS" w:hAnsi="Trebuchet MS" w:cs="Trebuchet MS"/>
                <w:b/>
                <w:bCs/>
                <w:sz w:val="26"/>
                <w:szCs w:val="26"/>
                <w:u w:color="262626"/>
                <w:lang w:val="en-US"/>
              </w:rPr>
              <w:t>Centro de Investigaciones en Ciencias Sociales</w:t>
            </w:r>
            <w:r>
              <w:rPr>
                <w:rFonts w:ascii="Trebuchet MS" w:hAnsi="Trebuchet MS" w:cs="Trebuchet MS"/>
                <w:sz w:val="26"/>
                <w:szCs w:val="26"/>
                <w:u w:color="262626"/>
                <w:lang w:val="en-US"/>
              </w:rPr>
              <w:t xml:space="preserve"> (CICSO) en 1966, proponiendo una </w:t>
            </w:r>
            <w:r>
              <w:rPr>
                <w:rFonts w:ascii="Trebuchet MS" w:hAnsi="Trebuchet MS" w:cs="Trebuchet MS"/>
                <w:b/>
                <w:bCs/>
                <w:sz w:val="26"/>
                <w:szCs w:val="26"/>
                <w:u w:color="262626"/>
                <w:lang w:val="en-US"/>
              </w:rPr>
              <w:lastRenderedPageBreak/>
              <w:t>combinación de métodos sociológicos con la teoría marxista</w:t>
            </w:r>
            <w:r>
              <w:rPr>
                <w:rFonts w:ascii="Trebuchet MS" w:hAnsi="Trebuchet MS" w:cs="Trebuchet MS"/>
                <w:sz w:val="26"/>
                <w:szCs w:val="26"/>
                <w:u w:color="262626"/>
                <w:lang w:val="en-US"/>
              </w:rPr>
              <w:t xml:space="preserve">. Durante la ruptura con la sociología hegemónica aquí se recuperaron cuestiones clave como el </w:t>
            </w:r>
            <w:r>
              <w:rPr>
                <w:rFonts w:ascii="Trebuchet MS" w:hAnsi="Trebuchet MS" w:cs="Trebuchet MS"/>
                <w:b/>
                <w:bCs/>
                <w:sz w:val="26"/>
                <w:szCs w:val="26"/>
                <w:u w:color="262626"/>
                <w:lang w:val="en-US"/>
              </w:rPr>
              <w:t>método empírico</w:t>
            </w:r>
            <w:r>
              <w:rPr>
                <w:rFonts w:ascii="Trebuchet MS" w:hAnsi="Trebuchet MS" w:cs="Trebuchet MS"/>
                <w:sz w:val="26"/>
                <w:szCs w:val="26"/>
                <w:u w:color="262626"/>
                <w:lang w:val="en-US"/>
              </w:rPr>
              <w:t xml:space="preserve">, pero ahora como base para otra </w:t>
            </w:r>
            <w:r>
              <w:rPr>
                <w:rFonts w:ascii="Trebuchet MS" w:hAnsi="Trebuchet MS" w:cs="Trebuchet MS"/>
                <w:b/>
                <w:bCs/>
                <w:sz w:val="26"/>
                <w:szCs w:val="26"/>
                <w:u w:color="262626"/>
                <w:lang w:val="en-US"/>
              </w:rPr>
              <w:t>estrategia política intelectual</w:t>
            </w:r>
            <w:r>
              <w:rPr>
                <w:rFonts w:ascii="Trebuchet MS" w:hAnsi="Trebuchet MS" w:cs="Trebuchet MS"/>
                <w:sz w:val="26"/>
                <w:szCs w:val="26"/>
                <w:u w:color="262626"/>
                <w:lang w:val="en-US"/>
              </w:rPr>
              <w:t>.</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El proceso de la investigación desde los 1960 a los 1980 acompañó el </w:t>
            </w:r>
            <w:r>
              <w:rPr>
                <w:rFonts w:ascii="Trebuchet MS" w:hAnsi="Trebuchet MS" w:cs="Trebuchet MS"/>
                <w:b/>
                <w:bCs/>
                <w:sz w:val="26"/>
                <w:szCs w:val="26"/>
                <w:u w:color="262626"/>
                <w:lang w:val="en-US"/>
              </w:rPr>
              <w:t>proceso revolucionario latinoamericano</w:t>
            </w:r>
            <w:r>
              <w:rPr>
                <w:rFonts w:ascii="Trebuchet MS" w:hAnsi="Trebuchet MS" w:cs="Trebuchet MS"/>
                <w:sz w:val="26"/>
                <w:szCs w:val="26"/>
                <w:u w:color="262626"/>
                <w:lang w:val="en-US"/>
              </w:rPr>
              <w:t xml:space="preserve">. Así se conceptualiza el ejercicio de la práctica combativa dentro del entendimiento de la formación del poder en términos sociales e históricos, pero también estratégicos. Esto se va haciendo en el camino de la radicalización política. Primero milita en el </w:t>
            </w:r>
            <w:r>
              <w:rPr>
                <w:rFonts w:ascii="Trebuchet MS" w:hAnsi="Trebuchet MS" w:cs="Trebuchet MS"/>
                <w:b/>
                <w:bCs/>
                <w:sz w:val="26"/>
                <w:szCs w:val="26"/>
                <w:u w:color="262626"/>
                <w:lang w:val="en-US"/>
              </w:rPr>
              <w:t>Partido Socialista</w:t>
            </w:r>
            <w:r>
              <w:rPr>
                <w:rFonts w:ascii="Trebuchet MS" w:hAnsi="Trebuchet MS" w:cs="Trebuchet MS"/>
                <w:sz w:val="26"/>
                <w:szCs w:val="26"/>
                <w:u w:color="262626"/>
                <w:lang w:val="en-US"/>
              </w:rPr>
              <w:t xml:space="preserve">, y es parte de la </w:t>
            </w:r>
            <w:r>
              <w:rPr>
                <w:rFonts w:ascii="Trebuchet MS" w:hAnsi="Trebuchet MS" w:cs="Trebuchet MS"/>
                <w:b/>
                <w:bCs/>
                <w:sz w:val="26"/>
                <w:szCs w:val="26"/>
                <w:u w:color="262626"/>
                <w:lang w:val="en-US"/>
              </w:rPr>
              <w:t xml:space="preserve">dirección de la FUBA </w:t>
            </w:r>
            <w:r>
              <w:rPr>
                <w:rFonts w:ascii="Trebuchet MS" w:hAnsi="Trebuchet MS" w:cs="Trebuchet MS"/>
                <w:sz w:val="26"/>
                <w:szCs w:val="26"/>
                <w:u w:color="262626"/>
                <w:lang w:val="en-US"/>
              </w:rPr>
              <w:t xml:space="preserve">(Federación Universitaria de Buenos Aires) en los 1950s. Luego integra las </w:t>
            </w:r>
            <w:r>
              <w:rPr>
                <w:rFonts w:ascii="Trebuchet MS" w:hAnsi="Trebuchet MS" w:cs="Trebuchet MS"/>
                <w:b/>
                <w:bCs/>
                <w:sz w:val="26"/>
                <w:szCs w:val="26"/>
                <w:u w:color="262626"/>
                <w:lang w:val="en-US"/>
              </w:rPr>
              <w:t>fracciones de izquierda</w:t>
            </w:r>
            <w:r>
              <w:rPr>
                <w:rFonts w:ascii="Trebuchet MS" w:hAnsi="Trebuchet MS" w:cs="Trebuchet MS"/>
                <w:sz w:val="26"/>
                <w:szCs w:val="26"/>
                <w:u w:color="262626"/>
                <w:lang w:val="en-US"/>
              </w:rPr>
              <w:t xml:space="preserve"> de este partido. De ahí en más colabora con </w:t>
            </w:r>
            <w:r>
              <w:rPr>
                <w:rFonts w:ascii="Trebuchet MS" w:hAnsi="Trebuchet MS" w:cs="Trebuchet MS"/>
                <w:b/>
                <w:bCs/>
                <w:sz w:val="26"/>
                <w:szCs w:val="26"/>
                <w:u w:color="262626"/>
                <w:lang w:val="en-US"/>
              </w:rPr>
              <w:t>formaciones radicalizadas en Chile y Argentina</w:t>
            </w:r>
            <w:r>
              <w:rPr>
                <w:rFonts w:ascii="Trebuchet MS" w:hAnsi="Trebuchet MS" w:cs="Trebuchet MS"/>
                <w:sz w:val="26"/>
                <w:szCs w:val="26"/>
                <w:u w:color="262626"/>
                <w:lang w:val="en-US"/>
              </w:rPr>
              <w:t>.</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noProof/>
                <w:sz w:val="26"/>
                <w:szCs w:val="26"/>
                <w:u w:color="262626"/>
                <w:lang w:val="en-US"/>
              </w:rPr>
              <w:drawing>
                <wp:inline distT="0" distB="0" distL="0" distR="0" wp14:anchorId="51D8BA12" wp14:editId="026717CA">
                  <wp:extent cx="5588635" cy="2969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635" cy="2969895"/>
                          </a:xfrm>
                          <a:prstGeom prst="rect">
                            <a:avLst/>
                          </a:prstGeom>
                          <a:noFill/>
                          <a:ln>
                            <a:noFill/>
                          </a:ln>
                        </pic:spPr>
                      </pic:pic>
                    </a:graphicData>
                  </a:graphic>
                </wp:inline>
              </w:drawing>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Marín investigó la </w:t>
            </w:r>
            <w:r>
              <w:rPr>
                <w:rFonts w:ascii="Trebuchet MS" w:hAnsi="Trebuchet MS" w:cs="Trebuchet MS"/>
                <w:b/>
                <w:bCs/>
                <w:sz w:val="26"/>
                <w:szCs w:val="26"/>
                <w:u w:color="262626"/>
                <w:lang w:val="en-US"/>
              </w:rPr>
              <w:t>toma de tierras en Chile entre los 1960 y 1970</w:t>
            </w:r>
            <w:r>
              <w:rPr>
                <w:rFonts w:ascii="Trebuchet MS" w:hAnsi="Trebuchet MS" w:cs="Trebuchet MS"/>
                <w:sz w:val="26"/>
                <w:szCs w:val="26"/>
                <w:u w:color="262626"/>
                <w:lang w:val="en-US"/>
              </w:rPr>
              <w:t xml:space="preserve">, antes y durante la Unidad Popular de Salvador Allende viviendo allí; las </w:t>
            </w:r>
            <w:r>
              <w:rPr>
                <w:rFonts w:ascii="Trebuchet MS" w:hAnsi="Trebuchet MS" w:cs="Trebuchet MS"/>
                <w:b/>
                <w:bCs/>
                <w:sz w:val="26"/>
                <w:szCs w:val="26"/>
                <w:u w:color="262626"/>
                <w:lang w:val="en-US"/>
              </w:rPr>
              <w:t>luchas armadas en Argentina</w:t>
            </w:r>
            <w:r>
              <w:rPr>
                <w:rFonts w:ascii="Trebuchet MS" w:hAnsi="Trebuchet MS" w:cs="Trebuchet MS"/>
                <w:sz w:val="26"/>
                <w:szCs w:val="26"/>
                <w:u w:color="262626"/>
                <w:lang w:val="en-US"/>
              </w:rPr>
              <w:t xml:space="preserve"> cuando volviera durante la apertura de Cámpora. Antes había realizado un estudio sobre los </w:t>
            </w:r>
            <w:r>
              <w:rPr>
                <w:rFonts w:ascii="Trebuchet MS" w:hAnsi="Trebuchet MS" w:cs="Trebuchet MS"/>
                <w:b/>
                <w:bCs/>
                <w:sz w:val="26"/>
                <w:szCs w:val="26"/>
                <w:u w:color="262626"/>
                <w:lang w:val="en-US"/>
              </w:rPr>
              <w:t>constructores navales del puerto de La Boca</w:t>
            </w:r>
            <w:r>
              <w:rPr>
                <w:rFonts w:ascii="Trebuchet MS" w:hAnsi="Trebuchet MS" w:cs="Trebuchet MS"/>
                <w:sz w:val="26"/>
                <w:szCs w:val="26"/>
                <w:u w:color="262626"/>
                <w:lang w:val="en-US"/>
              </w:rPr>
              <w:t xml:space="preserve"> (Buenos Aires) hacia los años 1950, en colaboración con el sindicato (de orientación sindicalista anarquista). Hacia 1967 participa como investigador miembro en una conocida investigación colectiva dirigida por Jose Nun sobre la </w:t>
            </w:r>
            <w:r>
              <w:rPr>
                <w:rFonts w:ascii="Trebuchet MS" w:hAnsi="Trebuchet MS" w:cs="Trebuchet MS"/>
                <w:b/>
                <w:bCs/>
                <w:sz w:val="26"/>
                <w:szCs w:val="26"/>
                <w:u w:color="262626"/>
                <w:lang w:val="en-US"/>
              </w:rPr>
              <w:t>marginalidad en América Latina</w:t>
            </w:r>
            <w:r>
              <w:rPr>
                <w:rFonts w:ascii="Trebuchet MS" w:hAnsi="Trebuchet MS" w:cs="Trebuchet MS"/>
                <w:sz w:val="26"/>
                <w:szCs w:val="26"/>
                <w:u w:color="262626"/>
                <w:lang w:val="en-US"/>
              </w:rPr>
              <w:t xml:space="preserve">, financiada generosamente por la Fundación Ford (asesorado internacionalmente por Hobsbawm y Touraine). Este proyecto tenía asiento en el </w:t>
            </w:r>
            <w:r>
              <w:rPr>
                <w:rFonts w:ascii="Trebuchet MS" w:hAnsi="Trebuchet MS" w:cs="Trebuchet MS"/>
                <w:b/>
                <w:bCs/>
                <w:sz w:val="26"/>
                <w:szCs w:val="26"/>
                <w:u w:color="262626"/>
                <w:lang w:val="en-US"/>
              </w:rPr>
              <w:t>Instituto Torcuato Di Tella</w:t>
            </w:r>
            <w:r>
              <w:rPr>
                <w:rFonts w:ascii="Trebuchet MS" w:hAnsi="Trebuchet MS" w:cs="Trebuchet MS"/>
                <w:sz w:val="26"/>
                <w:szCs w:val="26"/>
                <w:u w:color="262626"/>
                <w:lang w:val="en-US"/>
              </w:rPr>
              <w:t>, lugar de vanguardia en el arte y las ciencias por aquellos años. Por el origen de los fondos este proyecto fue cuestionado duramente por otros núcleos intelectuales como funcional a la inserción imperialista. Nos parece que la dinámica de los enfrentamientos en el Cono Sur no deja dudas sobre esta querella.</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Posteriormente Lito publica una serie de </w:t>
            </w:r>
            <w:r>
              <w:rPr>
                <w:rFonts w:ascii="Trebuchet MS" w:hAnsi="Trebuchet MS" w:cs="Trebuchet MS"/>
                <w:b/>
                <w:bCs/>
                <w:sz w:val="26"/>
                <w:szCs w:val="26"/>
                <w:u w:color="262626"/>
                <w:lang w:val="en-US"/>
              </w:rPr>
              <w:t>cuadernos teóricos en CICSO</w:t>
            </w:r>
            <w:r>
              <w:rPr>
                <w:rFonts w:ascii="Trebuchet MS" w:hAnsi="Trebuchet MS" w:cs="Trebuchet MS"/>
                <w:sz w:val="26"/>
                <w:szCs w:val="26"/>
                <w:u w:color="262626"/>
                <w:lang w:val="en-US"/>
              </w:rPr>
              <w:t xml:space="preserve"> (el más conocido es el “cuaderno 8”). También circularon varios </w:t>
            </w:r>
            <w:r>
              <w:rPr>
                <w:rFonts w:ascii="Trebuchet MS" w:hAnsi="Trebuchet MS" w:cs="Trebuchet MS"/>
                <w:b/>
                <w:bCs/>
                <w:sz w:val="26"/>
                <w:szCs w:val="26"/>
                <w:u w:color="262626"/>
                <w:lang w:val="en-US"/>
              </w:rPr>
              <w:t>cuadernos inéditos</w:t>
            </w:r>
            <w:r>
              <w:rPr>
                <w:rFonts w:ascii="Trebuchet MS" w:hAnsi="Trebuchet MS" w:cs="Trebuchet MS"/>
                <w:sz w:val="26"/>
                <w:szCs w:val="26"/>
                <w:u w:color="262626"/>
                <w:lang w:val="en-US"/>
              </w:rPr>
              <w:t xml:space="preserve"> de intensa teorización sobre estrategia que suman cientos de páginas. Tan temprano como 1986 publicó </w:t>
            </w:r>
            <w:r>
              <w:rPr>
                <w:rFonts w:ascii="Trebuchet MS" w:hAnsi="Trebuchet MS" w:cs="Trebuchet MS"/>
                <w:i/>
                <w:iCs/>
                <w:sz w:val="26"/>
                <w:szCs w:val="26"/>
                <w:u w:color="262626"/>
                <w:lang w:val="en-US"/>
              </w:rPr>
              <w:t>“La silla en la cabeza”</w:t>
            </w:r>
            <w:r>
              <w:rPr>
                <w:rFonts w:ascii="Trebuchet MS" w:hAnsi="Trebuchet MS" w:cs="Trebuchet MS"/>
                <w:sz w:val="26"/>
                <w:szCs w:val="26"/>
                <w:u w:color="262626"/>
                <w:lang w:val="en-US"/>
              </w:rPr>
              <w:t xml:space="preserve">, una </w:t>
            </w:r>
            <w:r>
              <w:rPr>
                <w:rFonts w:ascii="Trebuchet MS" w:hAnsi="Trebuchet MS" w:cs="Trebuchet MS"/>
                <w:b/>
                <w:bCs/>
                <w:sz w:val="26"/>
                <w:szCs w:val="26"/>
                <w:u w:color="262626"/>
                <w:lang w:val="en-US"/>
              </w:rPr>
              <w:t>transcripción de una discusión pública con Thomas Abraham sobre los usos de Michel Foucault</w:t>
            </w:r>
            <w:r>
              <w:rPr>
                <w:rFonts w:ascii="Trebuchet MS" w:hAnsi="Trebuchet MS" w:cs="Trebuchet MS"/>
                <w:sz w:val="26"/>
                <w:szCs w:val="26"/>
                <w:u w:color="262626"/>
                <w:lang w:val="en-US"/>
              </w:rPr>
              <w:t xml:space="preserve">. La charla terminó acaloradamente: Lito amenazó a su adversario teórico con tirarle una silla por la cabeza. Desde los 1980 </w:t>
            </w:r>
            <w:r>
              <w:rPr>
                <w:rFonts w:ascii="Trebuchet MS" w:hAnsi="Trebuchet MS" w:cs="Trebuchet MS"/>
                <w:b/>
                <w:bCs/>
                <w:sz w:val="26"/>
                <w:szCs w:val="26"/>
                <w:u w:color="262626"/>
                <w:lang w:val="en-US"/>
              </w:rPr>
              <w:t>dirige una camada de nuevos investigadores</w:t>
            </w:r>
            <w:r>
              <w:rPr>
                <w:rFonts w:ascii="Trebuchet MS" w:hAnsi="Trebuchet MS" w:cs="Trebuchet MS"/>
                <w:sz w:val="26"/>
                <w:szCs w:val="26"/>
                <w:u w:color="262626"/>
                <w:lang w:val="en-US"/>
              </w:rPr>
              <w:t xml:space="preserve"> hoy en actividad.</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En una entrevista, cuando le preguntamos por las influencias teóricas en sus trabajos, Lito respondía que ellos simplemente tomaban a </w:t>
            </w:r>
            <w:r>
              <w:rPr>
                <w:rFonts w:ascii="Trebuchet MS" w:hAnsi="Trebuchet MS" w:cs="Trebuchet MS"/>
                <w:b/>
                <w:bCs/>
                <w:sz w:val="26"/>
                <w:szCs w:val="26"/>
                <w:u w:color="262626"/>
                <w:lang w:val="en-US"/>
              </w:rPr>
              <w:t>Marx</w:t>
            </w:r>
            <w:r>
              <w:rPr>
                <w:rFonts w:ascii="Trebuchet MS" w:hAnsi="Trebuchet MS" w:cs="Trebuchet MS"/>
                <w:sz w:val="26"/>
                <w:szCs w:val="26"/>
                <w:u w:color="262626"/>
                <w:lang w:val="en-US"/>
              </w:rPr>
              <w:t xml:space="preserve"> para la investigación empírica. Sin embargo, para sus investigaciones y reflexiones teóricas tomaba no solo a Marx, sino también a </w:t>
            </w:r>
            <w:r>
              <w:rPr>
                <w:rFonts w:ascii="Trebuchet MS" w:hAnsi="Trebuchet MS" w:cs="Trebuchet MS"/>
                <w:b/>
                <w:bCs/>
                <w:sz w:val="26"/>
                <w:szCs w:val="26"/>
                <w:u w:color="262626"/>
                <w:lang w:val="en-US"/>
              </w:rPr>
              <w:t>Clausewitz</w:t>
            </w:r>
            <w:r>
              <w:rPr>
                <w:rFonts w:ascii="Trebuchet MS" w:hAnsi="Trebuchet MS" w:cs="Trebuchet MS"/>
                <w:sz w:val="26"/>
                <w:szCs w:val="26"/>
                <w:u w:color="262626"/>
                <w:lang w:val="en-US"/>
              </w:rPr>
              <w:t xml:space="preserve"> o </w:t>
            </w:r>
            <w:r>
              <w:rPr>
                <w:rFonts w:ascii="Trebuchet MS" w:hAnsi="Trebuchet MS" w:cs="Trebuchet MS"/>
                <w:b/>
                <w:bCs/>
                <w:sz w:val="26"/>
                <w:szCs w:val="26"/>
                <w:u w:color="262626"/>
                <w:lang w:val="en-US"/>
              </w:rPr>
              <w:t>Foucault</w:t>
            </w:r>
            <w:r>
              <w:rPr>
                <w:rFonts w:ascii="Trebuchet MS" w:hAnsi="Trebuchet MS" w:cs="Trebuchet MS"/>
                <w:sz w:val="26"/>
                <w:szCs w:val="26"/>
                <w:u w:color="262626"/>
                <w:lang w:val="en-US"/>
              </w:rPr>
              <w:t xml:space="preserve">. Estas síntesis tenían un significado propio en la América Latina de aquellos años. No solo Argentina, sino Chile, y luego Centroamérica, fueron ejes de una </w:t>
            </w:r>
            <w:r>
              <w:rPr>
                <w:rFonts w:ascii="Trebuchet MS" w:hAnsi="Trebuchet MS" w:cs="Trebuchet MS"/>
                <w:b/>
                <w:bCs/>
                <w:sz w:val="26"/>
                <w:szCs w:val="26"/>
                <w:u w:color="262626"/>
                <w:lang w:val="en-US"/>
              </w:rPr>
              <w:t>práctica investigativa de lucha teórica</w:t>
            </w:r>
            <w:r>
              <w:rPr>
                <w:rFonts w:ascii="Trebuchet MS" w:hAnsi="Trebuchet MS" w:cs="Trebuchet MS"/>
                <w:sz w:val="26"/>
                <w:szCs w:val="26"/>
                <w:u w:color="262626"/>
                <w:lang w:val="en-US"/>
              </w:rPr>
              <w:t xml:space="preserve"> (no diremos “práctica teórica”) en la que se unían las </w:t>
            </w:r>
            <w:r>
              <w:rPr>
                <w:rFonts w:ascii="Trebuchet MS" w:hAnsi="Trebuchet MS" w:cs="Trebuchet MS"/>
                <w:b/>
                <w:bCs/>
                <w:sz w:val="26"/>
                <w:szCs w:val="26"/>
                <w:u w:color="262626"/>
                <w:lang w:val="en-US"/>
              </w:rPr>
              <w:t>personificaciones del sociólogo y el “militante crítico”</w:t>
            </w:r>
            <w:r>
              <w:rPr>
                <w:rFonts w:ascii="Trebuchet MS" w:hAnsi="Trebuchet MS" w:cs="Trebuchet MS"/>
                <w:sz w:val="26"/>
                <w:szCs w:val="26"/>
                <w:u w:color="262626"/>
                <w:lang w:val="en-US"/>
              </w:rPr>
              <w:t xml:space="preserve">, al decir de Guillermo Almeyra. Pasó el </w:t>
            </w:r>
            <w:r>
              <w:rPr>
                <w:rFonts w:ascii="Trebuchet MS" w:hAnsi="Trebuchet MS" w:cs="Trebuchet MS"/>
                <w:b/>
                <w:bCs/>
                <w:sz w:val="26"/>
                <w:szCs w:val="26"/>
                <w:u w:color="262626"/>
                <w:lang w:val="en-US"/>
              </w:rPr>
              <w:t>exilio</w:t>
            </w:r>
            <w:r>
              <w:rPr>
                <w:rFonts w:ascii="Trebuchet MS" w:hAnsi="Trebuchet MS" w:cs="Trebuchet MS"/>
                <w:sz w:val="26"/>
                <w:szCs w:val="26"/>
                <w:u w:color="262626"/>
                <w:lang w:val="en-US"/>
              </w:rPr>
              <w:t xml:space="preserve"> en </w:t>
            </w:r>
            <w:r>
              <w:rPr>
                <w:rFonts w:ascii="Trebuchet MS" w:hAnsi="Trebuchet MS" w:cs="Trebuchet MS"/>
                <w:b/>
                <w:bCs/>
                <w:sz w:val="26"/>
                <w:szCs w:val="26"/>
                <w:u w:color="262626"/>
                <w:lang w:val="en-US"/>
              </w:rPr>
              <w:t>México</w:t>
            </w:r>
            <w:r>
              <w:rPr>
                <w:rFonts w:ascii="Trebuchet MS" w:hAnsi="Trebuchet MS" w:cs="Trebuchet MS"/>
                <w:sz w:val="26"/>
                <w:szCs w:val="26"/>
                <w:u w:color="262626"/>
                <w:lang w:val="en-US"/>
              </w:rPr>
              <w:t xml:space="preserve"> enseñando en El Colegio de México en su Centro de Estudios Sociológicos.</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Vuelto a la carrera de Sociología en la segunda mitad de los 1980, Lito Marín desarrolló un nuevo programa de trabajo articulando la </w:t>
            </w:r>
            <w:r>
              <w:rPr>
                <w:rFonts w:ascii="Trebuchet MS" w:hAnsi="Trebuchet MS" w:cs="Trebuchet MS"/>
                <w:b/>
                <w:bCs/>
                <w:sz w:val="26"/>
                <w:szCs w:val="26"/>
                <w:u w:color="262626"/>
                <w:lang w:val="en-US"/>
              </w:rPr>
              <w:t>investigación</w:t>
            </w:r>
            <w:r>
              <w:rPr>
                <w:rFonts w:ascii="Trebuchet MS" w:hAnsi="Trebuchet MS" w:cs="Trebuchet MS"/>
                <w:sz w:val="26"/>
                <w:szCs w:val="26"/>
                <w:u w:color="262626"/>
                <w:lang w:val="en-US"/>
              </w:rPr>
              <w:t xml:space="preserve"> en </w:t>
            </w:r>
            <w:proofErr w:type="gramStart"/>
            <w:r>
              <w:rPr>
                <w:rFonts w:ascii="Trebuchet MS" w:hAnsi="Trebuchet MS" w:cs="Trebuchet MS"/>
                <w:sz w:val="26"/>
                <w:szCs w:val="26"/>
                <w:u w:color="262626"/>
                <w:lang w:val="en-US"/>
              </w:rPr>
              <w:t xml:space="preserve">el </w:t>
            </w:r>
            <w:r>
              <w:rPr>
                <w:rFonts w:ascii="Trebuchet MS" w:hAnsi="Trebuchet MS" w:cs="Trebuchet MS"/>
                <w:b/>
                <w:bCs/>
                <w:sz w:val="26"/>
                <w:szCs w:val="26"/>
                <w:u w:color="262626"/>
                <w:lang w:val="en-US"/>
              </w:rPr>
              <w:t>Instituto Gino Germani</w:t>
            </w:r>
            <w:r>
              <w:rPr>
                <w:rFonts w:ascii="Trebuchet MS" w:hAnsi="Trebuchet MS" w:cs="Trebuchet MS"/>
                <w:sz w:val="26"/>
                <w:szCs w:val="26"/>
                <w:u w:color="262626"/>
                <w:lang w:val="en-US"/>
              </w:rPr>
              <w:t xml:space="preserve"> junto con</w:t>
            </w:r>
            <w:proofErr w:type="gramEnd"/>
            <w:r>
              <w:rPr>
                <w:rFonts w:ascii="Trebuchet MS" w:hAnsi="Trebuchet MS" w:cs="Trebuchet MS"/>
                <w:sz w:val="26"/>
                <w:szCs w:val="26"/>
                <w:u w:color="262626"/>
                <w:lang w:val="en-US"/>
              </w:rPr>
              <w:t xml:space="preserve"> la </w:t>
            </w:r>
            <w:r>
              <w:rPr>
                <w:rFonts w:ascii="Trebuchet MS" w:hAnsi="Trebuchet MS" w:cs="Trebuchet MS"/>
                <w:b/>
                <w:bCs/>
                <w:sz w:val="26"/>
                <w:szCs w:val="26"/>
                <w:u w:color="262626"/>
                <w:lang w:val="en-US"/>
              </w:rPr>
              <w:t>docencia</w:t>
            </w:r>
            <w:r>
              <w:rPr>
                <w:rFonts w:ascii="Trebuchet MS" w:hAnsi="Trebuchet MS" w:cs="Trebuchet MS"/>
                <w:sz w:val="26"/>
                <w:szCs w:val="26"/>
                <w:u w:color="262626"/>
                <w:lang w:val="en-US"/>
              </w:rPr>
              <w:t xml:space="preserve"> en talleres para estudiantes avanzados. En estos talleres el Profesor Marín usaba formas poco ortodoxas, experimentales. Uno de sus temas, casi obsesivos diríamos, hacía a la comprensión de las condiciones de posibilidad sociales de los </w:t>
            </w:r>
            <w:r>
              <w:rPr>
                <w:rFonts w:ascii="Trebuchet MS" w:hAnsi="Trebuchet MS" w:cs="Trebuchet MS"/>
                <w:b/>
                <w:bCs/>
                <w:sz w:val="26"/>
                <w:szCs w:val="26"/>
                <w:u w:color="262626"/>
                <w:lang w:val="en-US"/>
              </w:rPr>
              <w:t>genocidios</w:t>
            </w:r>
            <w:r>
              <w:rPr>
                <w:rFonts w:ascii="Trebuchet MS" w:hAnsi="Trebuchet MS" w:cs="Trebuchet MS"/>
                <w:sz w:val="26"/>
                <w:szCs w:val="26"/>
                <w:u w:color="262626"/>
                <w:lang w:val="en-US"/>
              </w:rPr>
              <w:t>, un tema directamente vinculado a la experiencia reciente. Esta cuestión se relacionó a la vez con un intento de formular el castigo o la represión como condición de la producción y reproducción de las sociedades (“de lo social”).</w:t>
            </w:r>
          </w:p>
          <w:p w:rsidR="00CA37C1" w:rsidRDefault="00CA37C1">
            <w:pPr>
              <w:widowControl w:val="0"/>
              <w:autoSpaceDE w:val="0"/>
              <w:autoSpaceDN w:val="0"/>
              <w:adjustRightInd w:val="0"/>
              <w:rPr>
                <w:rFonts w:ascii="Trebuchet MS" w:hAnsi="Trebuchet MS" w:cs="Trebuchet MS"/>
                <w:sz w:val="26"/>
                <w:szCs w:val="26"/>
                <w:u w:color="262626"/>
                <w:lang w:val="en-US"/>
              </w:rPr>
            </w:pPr>
            <w:r>
              <w:rPr>
                <w:rFonts w:ascii="Trebuchet MS" w:hAnsi="Trebuchet MS" w:cs="Trebuchet MS"/>
                <w:noProof/>
                <w:sz w:val="26"/>
                <w:szCs w:val="26"/>
                <w:u w:color="262626"/>
                <w:lang w:val="en-US"/>
              </w:rPr>
              <w:drawing>
                <wp:inline distT="0" distB="0" distL="0" distR="0" wp14:anchorId="48084C4A" wp14:editId="01639DAA">
                  <wp:extent cx="2538095" cy="310134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3101340"/>
                          </a:xfrm>
                          <a:prstGeom prst="rect">
                            <a:avLst/>
                          </a:prstGeom>
                          <a:noFill/>
                          <a:ln>
                            <a:noFill/>
                          </a:ln>
                        </pic:spPr>
                      </pic:pic>
                    </a:graphicData>
                  </a:graphic>
                </wp:inline>
              </w:drawing>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A modo de introducción, podemos seleccionar algunos aportes empíricos y conceptuales en su trayectoria. Realizó una contribución hacia la </w:t>
            </w:r>
            <w:r>
              <w:rPr>
                <w:rFonts w:ascii="Trebuchet MS" w:hAnsi="Trebuchet MS" w:cs="Trebuchet MS"/>
                <w:b/>
                <w:bCs/>
                <w:sz w:val="26"/>
                <w:szCs w:val="26"/>
                <w:u w:color="262626"/>
                <w:lang w:val="en-US"/>
              </w:rPr>
              <w:t>investigación empírica de las luchas de clases en torno de varios conceptos</w:t>
            </w:r>
            <w:r>
              <w:rPr>
                <w:rFonts w:ascii="Trebuchet MS" w:hAnsi="Trebuchet MS" w:cs="Trebuchet MS"/>
                <w:sz w:val="26"/>
                <w:szCs w:val="26"/>
                <w:u w:color="262626"/>
                <w:lang w:val="en-US"/>
              </w:rPr>
              <w:t xml:space="preserve">: fuerzas sociales, estrategias, enfrentamientos. </w:t>
            </w:r>
            <w:r>
              <w:rPr>
                <w:rFonts w:ascii="Trebuchet MS" w:hAnsi="Trebuchet MS" w:cs="Trebuchet MS"/>
                <w:b/>
                <w:bCs/>
                <w:sz w:val="26"/>
                <w:szCs w:val="26"/>
                <w:u w:color="262626"/>
                <w:lang w:val="en-US"/>
              </w:rPr>
              <w:t>Fuerzas sociales</w:t>
            </w:r>
            <w:r>
              <w:rPr>
                <w:rFonts w:ascii="Trebuchet MS" w:hAnsi="Trebuchet MS" w:cs="Trebuchet MS"/>
                <w:sz w:val="26"/>
                <w:szCs w:val="26"/>
                <w:u w:color="262626"/>
                <w:lang w:val="en-US"/>
              </w:rPr>
              <w:t xml:space="preserve"> son los agrupamientos que se producen en los alineamientos en las luchas concretas. Estos agrupamientos comprenden a fracciones de distintas clases sociales. Aquí se intenta captar y reproducir empíricamente cierta complejidad de la formación de los actores sociales y políticos de la lucha de clases. La idea general es que los actores se definen por sus acciones, que estas son complejas (la acción nunca puede reducirse a la voluntad un único actor), situadas en campos de intereses relacionales. Estas relaciones no son solo materiales sino sociales y morales en varios aspectos. Incluyen las acciones de fuerzas opuestas. En síntesis, en esta conceptualización hay una convocatoria a la reproducción analítica de la complejidad de las luchas como parte de una totalidad social.</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Las fuerzas sociales llevan adelante </w:t>
            </w:r>
            <w:r>
              <w:rPr>
                <w:rFonts w:ascii="Trebuchet MS" w:hAnsi="Trebuchet MS" w:cs="Trebuchet MS"/>
                <w:b/>
                <w:bCs/>
                <w:sz w:val="26"/>
                <w:szCs w:val="26"/>
                <w:u w:color="262626"/>
                <w:lang w:val="en-US"/>
              </w:rPr>
              <w:t>estrategias</w:t>
            </w:r>
            <w:r>
              <w:rPr>
                <w:rFonts w:ascii="Trebuchet MS" w:hAnsi="Trebuchet MS" w:cs="Trebuchet MS"/>
                <w:sz w:val="26"/>
                <w:szCs w:val="26"/>
                <w:u w:color="262626"/>
                <w:lang w:val="en-US"/>
              </w:rPr>
              <w:t xml:space="preserve">, las cuales no se reconstruyen por la conciencia discursiva de la práctica, sino por los ordenamientos de las acciones objetivas. La práctica son los </w:t>
            </w:r>
            <w:r>
              <w:rPr>
                <w:rFonts w:ascii="Trebuchet MS" w:hAnsi="Trebuchet MS" w:cs="Trebuchet MS"/>
                <w:b/>
                <w:bCs/>
                <w:sz w:val="26"/>
                <w:szCs w:val="26"/>
                <w:u w:color="262626"/>
                <w:lang w:val="en-US"/>
              </w:rPr>
              <w:t>enfrentamientos</w:t>
            </w:r>
            <w:r>
              <w:rPr>
                <w:rFonts w:ascii="Trebuchet MS" w:hAnsi="Trebuchet MS" w:cs="Trebuchet MS"/>
                <w:sz w:val="26"/>
                <w:szCs w:val="26"/>
                <w:u w:color="262626"/>
                <w:lang w:val="en-US"/>
              </w:rPr>
              <w:t>. Aquí hay un uso de la teoría de la guerra aplicado a los conflictos sociales. Los conflictos son encuentros de combate, unidades mínimas de análisis en el proceso de las guerras. Grosso modo así fue creando este marco analítico en el transcurso de los estudios sobre Chile y Argentina, luego conceptualizado en sus Cuadernos de CICSO, esto es desde fines de los 1960 a principios de los 1980. Es un marco que debía permitir el análisis sistemático concreto de los procesos específicos nacionales de luchas, “bajarlos” de conceptos metafísicos hacia conceptos operacionales, que llevaran a “mediciones” cruciales.</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En el estilo de Lito Marín se expresaba el compromiso directo entre conocimiento y entendimiento práctico. No importa ahora el señalamiento de los límites que la burocracia investigativa (creo estos eran sus términos o se parecen) hacían </w:t>
            </w:r>
            <w:proofErr w:type="gramStart"/>
            <w:r>
              <w:rPr>
                <w:rFonts w:ascii="Trebuchet MS" w:hAnsi="Trebuchet MS" w:cs="Trebuchet MS"/>
                <w:sz w:val="26"/>
                <w:szCs w:val="26"/>
                <w:u w:color="262626"/>
                <w:lang w:val="en-US"/>
              </w:rPr>
              <w:t>a</w:t>
            </w:r>
            <w:proofErr w:type="gramEnd"/>
            <w:r>
              <w:rPr>
                <w:rFonts w:ascii="Trebuchet MS" w:hAnsi="Trebuchet MS" w:cs="Trebuchet MS"/>
                <w:sz w:val="26"/>
                <w:szCs w:val="26"/>
                <w:u w:color="262626"/>
                <w:lang w:val="en-US"/>
              </w:rPr>
              <w:t xml:space="preserve"> este compromiso. </w:t>
            </w:r>
            <w:r>
              <w:rPr>
                <w:rFonts w:ascii="Trebuchet MS" w:hAnsi="Trebuchet MS" w:cs="Trebuchet MS"/>
                <w:b/>
                <w:bCs/>
                <w:sz w:val="26"/>
                <w:szCs w:val="26"/>
                <w:u w:color="262626"/>
                <w:lang w:val="en-US"/>
              </w:rPr>
              <w:t>Era común la formación de “seminarios” con estudiantes críticos por fuera del plan oficial de estudios.</w:t>
            </w:r>
            <w:r>
              <w:rPr>
                <w:rFonts w:ascii="Trebuchet MS" w:hAnsi="Trebuchet MS" w:cs="Trebuchet MS"/>
                <w:sz w:val="26"/>
                <w:szCs w:val="26"/>
                <w:u w:color="262626"/>
                <w:lang w:val="en-US"/>
              </w:rPr>
              <w:t xml:space="preserve"> Allí se echaba por la borda todo formalismo escolar. El uso de las estructuras de la organización académica era visto como una prolongación que podía servir a la investigación reflexiva práctica, sometida a un proceso de crítica y autocrítica prolongada. En estos talleres nos formamos varias generaciones. Supongo que en el centro de su proyecto estaba la formación del </w:t>
            </w:r>
            <w:r>
              <w:rPr>
                <w:rFonts w:ascii="Trebuchet MS" w:hAnsi="Trebuchet MS" w:cs="Trebuchet MS"/>
                <w:b/>
                <w:bCs/>
                <w:sz w:val="26"/>
                <w:szCs w:val="26"/>
                <w:u w:color="262626"/>
                <w:lang w:val="en-US"/>
              </w:rPr>
              <w:t>oficio de la investigación</w:t>
            </w:r>
            <w:r>
              <w:rPr>
                <w:rFonts w:ascii="Trebuchet MS" w:hAnsi="Trebuchet MS" w:cs="Trebuchet MS"/>
                <w:sz w:val="26"/>
                <w:szCs w:val="26"/>
                <w:u w:color="262626"/>
                <w:lang w:val="en-US"/>
              </w:rPr>
              <w:t xml:space="preserve"> estrechamente vinculado a la </w:t>
            </w:r>
            <w:r>
              <w:rPr>
                <w:rFonts w:ascii="Trebuchet MS" w:hAnsi="Trebuchet MS" w:cs="Trebuchet MS"/>
                <w:b/>
                <w:bCs/>
                <w:sz w:val="26"/>
                <w:szCs w:val="26"/>
                <w:u w:color="262626"/>
                <w:lang w:val="en-US"/>
              </w:rPr>
              <w:t>transformación práctica social</w:t>
            </w:r>
            <w:r>
              <w:rPr>
                <w:rFonts w:ascii="Trebuchet MS" w:hAnsi="Trebuchet MS" w:cs="Trebuchet MS"/>
                <w:sz w:val="26"/>
                <w:szCs w:val="26"/>
                <w:u w:color="262626"/>
                <w:lang w:val="en-US"/>
              </w:rPr>
              <w:t>.</w:t>
            </w:r>
          </w:p>
          <w:p w:rsidR="00CA37C1" w:rsidRDefault="00CA37C1">
            <w:pPr>
              <w:widowControl w:val="0"/>
              <w:autoSpaceDE w:val="0"/>
              <w:autoSpaceDN w:val="0"/>
              <w:adjustRightInd w:val="0"/>
              <w:spacing w:after="260"/>
              <w:rPr>
                <w:rFonts w:ascii="Trebuchet MS" w:hAnsi="Trebuchet MS" w:cs="Trebuchet MS"/>
                <w:sz w:val="26"/>
                <w:szCs w:val="26"/>
                <w:u w:color="262626"/>
                <w:lang w:val="en-US"/>
              </w:rPr>
            </w:pPr>
            <w:r>
              <w:rPr>
                <w:rFonts w:ascii="Trebuchet MS" w:hAnsi="Trebuchet MS" w:cs="Trebuchet MS"/>
                <w:sz w:val="26"/>
                <w:szCs w:val="26"/>
                <w:u w:color="262626"/>
                <w:lang w:val="en-US"/>
              </w:rPr>
              <w:t xml:space="preserve">Por supuesto que todo esto contrae contradicciones (¿Qué práctica organizada no las tiene?). No obstante rescatamos esta guerra científica popular y prolongada, esta revolución investigativa permanente, este </w:t>
            </w:r>
            <w:r>
              <w:rPr>
                <w:rFonts w:ascii="Trebuchet MS" w:hAnsi="Trebuchet MS" w:cs="Trebuchet MS"/>
                <w:b/>
                <w:bCs/>
                <w:sz w:val="26"/>
                <w:szCs w:val="26"/>
                <w:u w:color="262626"/>
                <w:lang w:val="en-US"/>
              </w:rPr>
              <w:t>proceso de crítica radical de todo lo existente</w:t>
            </w:r>
            <w:r>
              <w:rPr>
                <w:rFonts w:ascii="Trebuchet MS" w:hAnsi="Trebuchet MS" w:cs="Trebuchet MS"/>
                <w:sz w:val="26"/>
                <w:szCs w:val="26"/>
                <w:u w:color="262626"/>
                <w:lang w:val="en-US"/>
              </w:rPr>
              <w:t xml:space="preserve"> que somete </w:t>
            </w:r>
            <w:proofErr w:type="gramStart"/>
            <w:r>
              <w:rPr>
                <w:rFonts w:ascii="Trebuchet MS" w:hAnsi="Trebuchet MS" w:cs="Trebuchet MS"/>
                <w:sz w:val="26"/>
                <w:szCs w:val="26"/>
                <w:u w:color="262626"/>
                <w:lang w:val="en-US"/>
              </w:rPr>
              <w:t>a</w:t>
            </w:r>
            <w:proofErr w:type="gramEnd"/>
            <w:r>
              <w:rPr>
                <w:rFonts w:ascii="Trebuchet MS" w:hAnsi="Trebuchet MS" w:cs="Trebuchet MS"/>
                <w:sz w:val="26"/>
                <w:szCs w:val="26"/>
                <w:u w:color="262626"/>
                <w:lang w:val="en-US"/>
              </w:rPr>
              <w:t xml:space="preserve"> examen las verdades ajenas y propias en la </w:t>
            </w:r>
            <w:r>
              <w:rPr>
                <w:rFonts w:ascii="Trebuchet MS" w:hAnsi="Trebuchet MS" w:cs="Trebuchet MS"/>
                <w:b/>
                <w:bCs/>
                <w:sz w:val="26"/>
                <w:szCs w:val="26"/>
                <w:u w:color="262626"/>
                <w:lang w:val="en-US"/>
              </w:rPr>
              <w:t>esperanza de que ello contribuyera al avance</w:t>
            </w:r>
            <w:r>
              <w:rPr>
                <w:rFonts w:ascii="Trebuchet MS" w:hAnsi="Trebuchet MS" w:cs="Trebuchet MS"/>
                <w:sz w:val="26"/>
                <w:szCs w:val="26"/>
                <w:u w:color="262626"/>
                <w:lang w:val="en-US"/>
              </w:rPr>
              <w:t xml:space="preserve"> de la especie humana. Así retomamos más o menos sus palabras.</w:t>
            </w:r>
          </w:p>
        </w:tc>
      </w:tr>
    </w:tbl>
    <w:p w:rsidR="003E00F0" w:rsidRDefault="003E00F0">
      <w:bookmarkStart w:id="0" w:name="_GoBack"/>
      <w:bookmarkEnd w:id="0"/>
    </w:p>
    <w:sectPr w:rsidR="003E00F0" w:rsidSect="005119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C1"/>
    <w:rsid w:val="003E00F0"/>
    <w:rsid w:val="0051199F"/>
    <w:rsid w:val="00CA37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9C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7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7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7399</Characters>
  <Application>Microsoft Macintosh Word</Application>
  <DocSecurity>0</DocSecurity>
  <Lines>61</Lines>
  <Paragraphs>17</Paragraphs>
  <ScaleCrop>false</ScaleCrop>
  <Company>HBI</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Blanco</dc:creator>
  <cp:keywords/>
  <dc:description/>
  <cp:lastModifiedBy>Hernan Blanco</cp:lastModifiedBy>
  <cp:revision>1</cp:revision>
  <dcterms:created xsi:type="dcterms:W3CDTF">2014-05-14T13:35:00Z</dcterms:created>
  <dcterms:modified xsi:type="dcterms:W3CDTF">2014-05-14T13:37:00Z</dcterms:modified>
</cp:coreProperties>
</file>